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402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ORDIN  Nr. 6756/2023 din 6 decembrie 2023</w:t>
      </w:r>
    </w:p>
    <w:p w14:paraId="4C4B9B3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pentru aprobarea Metodologiei privind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depăşirea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efectivelor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</w:t>
      </w:r>
    </w:p>
    <w:p w14:paraId="0B8F5E29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>EMITENT:     MINISTERUL EDUCAŢIEI</w:t>
      </w:r>
    </w:p>
    <w:p w14:paraId="161C0D0F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>PUBLICAT ÎN: MONITORUL OFICIAL  NR. 1122 din 13 decembrie 2023</w:t>
      </w:r>
    </w:p>
    <w:p w14:paraId="4D2DBAD6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657B0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Având în vedere:</w:t>
      </w:r>
    </w:p>
    <w:p w14:paraId="462DD33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- prevederile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(6) din Legea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învăţământului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nr. 198/2023, cu modificările ulterioare;</w:t>
      </w:r>
    </w:p>
    <w:p w14:paraId="670C1794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- Referatul de aprobare nr. 3.064/DGMRURS din 28.09.2023,</w:t>
      </w:r>
    </w:p>
    <w:p w14:paraId="55F1709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în baza prevederilor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13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(3) din Hotărârea Guvernului nr. 369/2021 privind organizarea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Ministerului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cu modificările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completările ulterioare,</w:t>
      </w:r>
    </w:p>
    <w:p w14:paraId="2C3BC12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ministrul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emite prezentul ordin.</w:t>
      </w:r>
    </w:p>
    <w:p w14:paraId="696F7E3E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1</w:t>
      </w:r>
    </w:p>
    <w:p w14:paraId="754AF20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Se aprobă Metodologia privind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depăşirea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efectivelor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sau elevi din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stat, prevăzută în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anexa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care face parte integrantă din prezentul ordin.</w:t>
      </w:r>
    </w:p>
    <w:p w14:paraId="5732F644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2</w:t>
      </w:r>
    </w:p>
    <w:p w14:paraId="591E69B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Direcţia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generală management resurse umane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reţea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din cadrul Ministerului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inspectoratele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duc la îndeplinire prevederile prezentului ordin.</w:t>
      </w:r>
    </w:p>
    <w:p w14:paraId="7ECB6C1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3</w:t>
      </w:r>
    </w:p>
    <w:p w14:paraId="5CFEDF42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Prezentul ordin se publică în Monitorul Oficial al României, Partea I.</w:t>
      </w:r>
    </w:p>
    <w:p w14:paraId="6727EAF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Ministrul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16D6A16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Ligia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Deca</w:t>
      </w:r>
      <w:proofErr w:type="spellEnd"/>
    </w:p>
    <w:p w14:paraId="5D8B807E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CD4BF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  <w:highlight w:val="yellow"/>
        </w:rPr>
        <w:t>Bucureşti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  <w:highlight w:val="yellow"/>
        </w:rPr>
        <w:t>, 6 decembrie 2023.</w:t>
      </w:r>
    </w:p>
    <w:p w14:paraId="1DE776F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   Nr. 6.756.</w:t>
      </w:r>
    </w:p>
    <w:p w14:paraId="53CC3C8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3AA324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ANEXĂ</w:t>
      </w:r>
    </w:p>
    <w:p w14:paraId="2D917A57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0F226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METODOLOGIE</w:t>
      </w:r>
    </w:p>
    <w:p w14:paraId="7CA808EE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privind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depăşirea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efectivelor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</w:t>
      </w:r>
    </w:p>
    <w:p w14:paraId="556B9D27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78C367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CAPITOLUL I</w:t>
      </w:r>
    </w:p>
    <w:p w14:paraId="5FECFEE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Dispoziţii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generale</w:t>
      </w:r>
    </w:p>
    <w:p w14:paraId="62AB8959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1</w:t>
      </w:r>
    </w:p>
    <w:p w14:paraId="69C102A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Prezenta metodologie reglementează la nivelul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organizarea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studiu cu mai mult de 2 beneficiari peste efectivul maxim prevăzut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(1) din Legea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învăţământului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nr. 198/2023, cu modificările ulterioare.</w:t>
      </w:r>
    </w:p>
    <w:p w14:paraId="2C8FD36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2</w:t>
      </w:r>
    </w:p>
    <w:p w14:paraId="24ACFCBE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La nivelul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stat,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formaţiunile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studiu se constituie în conformitate cu prevederile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(2)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248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(16) din Legea nr. 198/2023, cu modificările ulterioare.</w:t>
      </w:r>
    </w:p>
    <w:p w14:paraId="1B68C9F6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189A0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CAPITOLUL II</w:t>
      </w:r>
    </w:p>
    <w:p w14:paraId="30DA49E6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Aprobarea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depăşirii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diminuării efectivelor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 cu cel mult 2 beneficiari de către inspectoratele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şcolare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judeţene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/Inspectoratul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al Municipiului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Bucureşti</w:t>
      </w:r>
      <w:proofErr w:type="spellEnd"/>
    </w:p>
    <w:p w14:paraId="4151D55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72742C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3</w:t>
      </w:r>
    </w:p>
    <w:p w14:paraId="70DFA8B4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(1)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pot solicita inspectoratelor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judeţene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/Inspectoratului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Municipiului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denumite în continuare ISJ/ISMB, în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excepţionale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096C4F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în baza unei justificări a consiliului de </w:t>
      </w:r>
      <w:proofErr w:type="spellStart"/>
      <w:r w:rsidRPr="00096C4F">
        <w:rPr>
          <w:rFonts w:ascii="Times New Roman" w:hAnsi="Times New Roman" w:cs="Times New Roman"/>
          <w:color w:val="FF0000"/>
          <w:kern w:val="0"/>
          <w:sz w:val="24"/>
          <w:szCs w:val="24"/>
        </w:rPr>
        <w:t>administraţie</w:t>
      </w:r>
      <w:proofErr w:type="spellEnd"/>
      <w:r w:rsidRPr="00096C4F">
        <w:rPr>
          <w:rFonts w:ascii="Times New Roman" w:hAnsi="Times New Roman" w:cs="Times New Roman"/>
          <w:color w:val="FF0000"/>
          <w:kern w:val="0"/>
          <w:sz w:val="24"/>
          <w:szCs w:val="24"/>
        </w:rPr>
        <w:t>, suplimentarea cu cel mult 2 beneficiari peste efectivul maxim sau, după caz, diminuarea cu cel mult 2 beneficiari sub efectivul minim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prevăzut de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</w:rPr>
        <w:t>art. 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(1) din Legea nr. 198/2023, cu modificările ulterioare.</w:t>
      </w:r>
    </w:p>
    <w:p w14:paraId="4F57F0CF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(2)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Constituie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situaţii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excepţionale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pentru care se poate aproba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studiu cu efective mai mari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faţă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cele prevăzute în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</w:rPr>
        <w:t>Legea nr. 198/2023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, cu modificările ulterioare, următoarele:</w:t>
      </w:r>
    </w:p>
    <w:p w14:paraId="7BBE12EE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a)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revenirea din străinătate a elevilor/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circumscripţia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unei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care efectivele la clasă/grupă sunt la nivelul maxim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nu se pot reorganiza colectivele de elevi/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timpul anului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5E93D94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b)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transferul elevilor/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ca urmare a schimbării domiciliului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părinţilor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circumscripţia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unei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care efectivele la clasă/grupă sunt la nivelul maxim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nu se pot reorganiza colectivele de elevi/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timpul anului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FEC403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c)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lipsa resursei umane necesare pentru suplimentarea planului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şcolarizare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567611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d)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asigurarea dreptului la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copiilor/elevilor care nu pot dovedi cu documente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existenţa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domiciliului;</w:t>
      </w:r>
    </w:p>
    <w:p w14:paraId="2A042ED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e)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alte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care nu pot fi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soluţionate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prin încadrarea în numărul maxim de beneficiari prevăzut de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</w:rPr>
        <w:t>Legea nr. 198/2023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, cu modificările ulterioare.</w:t>
      </w:r>
    </w:p>
    <w:p w14:paraId="7D8570CD" w14:textId="4FE87946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(3) Consiliul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ISJ/ISMB aprobă sau respinge solicitările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stat, în urma analizei 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documentației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transmise de către acestea, precum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 motivării solicitărilor.</w:t>
      </w:r>
    </w:p>
    <w:p w14:paraId="034556FF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96C4F">
        <w:rPr>
          <w:rFonts w:ascii="Times New Roman" w:hAnsi="Times New Roman" w:cs="Times New Roman"/>
          <w:kern w:val="0"/>
          <w:sz w:val="24"/>
          <w:szCs w:val="24"/>
          <w:highlight w:val="yellow"/>
        </w:rPr>
        <w:t>ART. 4</w:t>
      </w:r>
    </w:p>
    <w:p w14:paraId="1627251E" w14:textId="7E4F99DC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(1) 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Documentația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transmisă de conducerea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către ISJ/ISMB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6C7B76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a) cererea formulată de unitatea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6D3000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b) hotărârea consiliului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7B49C5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c) procesul-verbal al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şedinţei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6DF0F0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d) descrierea completă 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argumentarea că aceasta reprezintă o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excepţională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că aprobarea acesteia nu va genera nicio formă de segregare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pe criteriile prevăzute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</w:rPr>
        <w:t>art. 79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(3) din Legea nr. 198/2023, cu modificările ulterioare;</w:t>
      </w:r>
    </w:p>
    <w:p w14:paraId="66511DD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e) date referitoare la numărul de grupe/clase existente aferente anului de studiu pentru care se realizează solicitarea, numărul de copii/elevi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existenţi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fiecare grupă/clasă, în conformitate cu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informaţiile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înregistrate în Sistemul informatic integrat al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învăţământului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din România (SIIIR),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capacitatea fiecărei săli de grupă/clasă;</w:t>
      </w:r>
    </w:p>
    <w:p w14:paraId="50F2C34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f) cererea motivată a părintelui/reprezentantului legal, dacă aceasta este baza solicitării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C39820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(2) În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aprobării unor suplimentări, conform alin. (1), ISJ/ISMB au/are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obligaţia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a informa autoritatea publică locală în vederea asigurării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finanţării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53D6810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(3) În termen de 5 zile de la aprobare, la nivelul ISJ/ISMB se operează modificările în SIIIR.</w:t>
      </w:r>
    </w:p>
    <w:p w14:paraId="6FCDDF6A" w14:textId="0F3F9AC3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(4)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care ISJ/ISMB constată că la nivelul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există grupe/clase paralele care permit cuprinderea copiilor/elevilor pentru care s-a făcut solicitarea în cadrul acestora în limita maximă prevăzută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(1) din Legea nr. 198/2023, cu modificările ulterioare, nu vor fi considerate 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excepționale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pentru care să fie nevoie de aprobare a ISJ/ISMB în 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condițiile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prezentei metodologii.</w:t>
      </w:r>
    </w:p>
    <w:p w14:paraId="4800C8CA" w14:textId="05F4FB7D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(5) Fac 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excepție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la prevederile alin. (4) grupele/clasele paralele care se regăsesc în unitatea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personalitate juridică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structurile arondate acesteia ori în două sau mai multe structuri, în cazul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personalitate juridică din mediul rural, respectiv în cazul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personalitate juridică din mediul urban unice la nivel de localitate.</w:t>
      </w:r>
    </w:p>
    <w:p w14:paraId="6123BAC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C17CD9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CAPITOLUL III</w:t>
      </w:r>
    </w:p>
    <w:p w14:paraId="43DF63C7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Aprobarea de către Ministerul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depăşirii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limitelor maxime aprobate de către ISJ/ISMB pentru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formaţiunile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</w:t>
      </w:r>
    </w:p>
    <w:p w14:paraId="6C03A60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063BF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ART. 5</w:t>
      </w:r>
    </w:p>
    <w:p w14:paraId="0137DE62" w14:textId="715EEA92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Ministerul 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>Educației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poate aproba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studiu cu efective mai mari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faţă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cele aprobate de către ISJ/ISMB, astfel:</w:t>
      </w:r>
    </w:p>
    <w:p w14:paraId="575B130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timpurie, nivel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antepreşcolar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5BF664B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(i) grupa mică, mai mult de 11;</w:t>
      </w:r>
    </w:p>
    <w:p w14:paraId="16838081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(ii) grupa mijlocie, mai mult de 17;</w:t>
      </w:r>
    </w:p>
    <w:p w14:paraId="4DE5802C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(iii) grupa mare, mai mult de 22;</w:t>
      </w:r>
    </w:p>
    <w:p w14:paraId="7872F15F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b)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timpurie, nivel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, mai mult de 22;</w:t>
      </w:r>
    </w:p>
    <w:p w14:paraId="6CA2BE19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c)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primar, mai mult de 24;</w:t>
      </w:r>
    </w:p>
    <w:p w14:paraId="3A63B73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d)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gimnazial, mai mult de 28;</w:t>
      </w:r>
    </w:p>
    <w:p w14:paraId="1E77EB9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e)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sportiv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artă, mai mult de 26;</w:t>
      </w:r>
    </w:p>
    <w:p w14:paraId="7995749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f)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liceal, inclusiv dual, mai mult de 28;</w:t>
      </w:r>
    </w:p>
    <w:p w14:paraId="75A7A1C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g)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postliceal, mai mult de 30;</w:t>
      </w:r>
    </w:p>
    <w:p w14:paraId="3AF6E534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h)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special:</w:t>
      </w:r>
    </w:p>
    <w:p w14:paraId="2CC3CA7E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sprijin de nivel I - II, mai mult de 9;</w:t>
      </w:r>
    </w:p>
    <w:p w14:paraId="6E3C0C00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(ii) beneficiari primari cu sprijin special de nivel I - II, mai mult de 10;</w:t>
      </w:r>
    </w:p>
    <w:p w14:paraId="10A5601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(iii)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antepreşcolari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deficienţe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grave de dezvoltare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sprijin special de nivel III - IV, mai mult de 7;</w:t>
      </w:r>
    </w:p>
    <w:p w14:paraId="336481E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(iv) beneficiari primari cu sprijin special de nivel III - IV, mai mult de 8;</w:t>
      </w:r>
    </w:p>
    <w:p w14:paraId="31D8B7E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i)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tehnologic special pentru elevi cu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deficienţe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uşoare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/sau moderate, mai mult de 14.</w:t>
      </w:r>
    </w:p>
    <w:p w14:paraId="62135D0C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6</w:t>
      </w:r>
    </w:p>
    <w:p w14:paraId="1BE5908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(1)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excepţionale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prevăzute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3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(2) în care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solicită ISJ/ISMB aprobarea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funcţionării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grupelor/claselor cu efective în conformitate cu prevederile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având la bază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documentaţia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prevăzută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4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(1), ISJ/ISMB transmit/transmite Ministerului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o solicitare în care se precizează pentru fiecare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numărul de locuri solicitate peste efectivele prevăzute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de:</w:t>
      </w:r>
    </w:p>
    <w:p w14:paraId="50E6EFA6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a) o notă de fundamentare care să cuprindă:</w:t>
      </w:r>
    </w:p>
    <w:p w14:paraId="4684944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(i) descrierea detaliată a fiecărei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argumentarea că fiecare dintre aceste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reprezintă o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excepţională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că aprobarea acestora nu va genera nicio formă de segregare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pe criteriile prevăzute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79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(3) din Legea nr. 198/2023, cu modificările ulterioare;</w:t>
      </w:r>
    </w:p>
    <w:p w14:paraId="6738A9D3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(ii) pentru fiecare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date referitoare la numărul de grupe/clase existente, aferente anului de studiu pentru care se realizează solicitarea, numărul de copii/elevi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existenţi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fiecare grupă/clasă, în conformitate cu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informaţiile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înregistrate în Sistemul informatic integrat al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învăţământului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din România (SIIIR), numărul de locuri solicitate peste efectivele prevăzute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capacitatea fiecărei săli de grupă/clasă;</w:t>
      </w:r>
    </w:p>
    <w:p w14:paraId="03D7FB8B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b) procesul-verbal al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şedinţei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ISJ/ISMB în cadrul căreia au fost analizate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respective.</w:t>
      </w:r>
    </w:p>
    <w:p w14:paraId="0FD9A897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(2) La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şedinţa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ISJ/ISMB în cadrul căreia sunt analizate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excepţionale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care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solicită ISJ/ISMB aprobarea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funcţionării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grupelor/claselor cu efective în conformitate cu prevederile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având la bază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documentaţia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prevăzută la </w:t>
      </w:r>
      <w:r w:rsidRPr="00096C4F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4</w:t>
      </w: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alin. (1), sunt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invitaţi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, obligatoriu, cu statut de observatori:</w:t>
      </w:r>
    </w:p>
    <w:p w14:paraId="2C2558F6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-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reprezentanţi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federaţiilor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sindicale reprezentative din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(care au membri în unitatea respectivă);</w:t>
      </w:r>
    </w:p>
    <w:p w14:paraId="2FD2A05F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- un reprezentant al structurilor asociative reprezentative ale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părinţilor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(care au membri în unitatea respectivă) sau un reprezentant al consiliului reprezentativ al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părinţilor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din unitatea respectivă;</w:t>
      </w:r>
    </w:p>
    <w:p w14:paraId="3E5F2F8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- un reprezentant al consiliului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judeţean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/consiliului municipiului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elevilor.</w:t>
      </w:r>
    </w:p>
    <w:p w14:paraId="64AF5822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(3)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Direcţia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resort din cadrul Ministerului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analizează solicitările de suplimentare, comparativ cu datele înregistrate în SIIIR,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comunică ISJ/ISMB aprobarea/respingerea solicitării, cu avizul secretarului de stat care are în coordonare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învăţământul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preuniversitar.</w:t>
      </w:r>
    </w:p>
    <w:p w14:paraId="35D5077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(4) În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care se constată că prin aprobarea solicitării se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depăşeşte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cifra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şcolarizare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aprobată, Ministerul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comunică ISJ/ISMB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suplimentarea corespunzătoare a cifrei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şcolarizare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88D18E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(5) Pentru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situaţiile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suplimentare aprobate, ISJ/ISMB are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obligaţia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a informa autoritatea publică locală în vederea asigurării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finanţării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a opera respectivele suplimentări în SIIIR.</w:t>
      </w:r>
    </w:p>
    <w:p w14:paraId="6801559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3D95D7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CAPITOLUL IV</w:t>
      </w:r>
    </w:p>
    <w:p w14:paraId="53AA28F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>Dispoziţii</w:t>
      </w:r>
      <w:proofErr w:type="spellEnd"/>
      <w:r w:rsidRPr="0009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finale</w:t>
      </w:r>
    </w:p>
    <w:p w14:paraId="41F2F0C9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0C336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7</w:t>
      </w:r>
    </w:p>
    <w:p w14:paraId="0F1D9F5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Pentru grupele/clasele în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funcţiune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în anul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2023 - 2024, efectivele de copii/elevi la grupă/clasă se stabilesc în baza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legislaţiei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valabile la momentul constituirii grupelor/claselor respective, până la finalizarea nivelului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E776030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8</w:t>
      </w:r>
    </w:p>
    <w:p w14:paraId="44B2147D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Prevederile prezentei metodologii se aplică începând cu anul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2024 - 2025, gradual, pentru grupele/clasele de început de nivel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EC8CD68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ART. 9</w:t>
      </w:r>
    </w:p>
    <w:p w14:paraId="787D125A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În cuprinsul prezentei metodologii, începând cu data reorganizării inspectoratelor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judeţene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/Inspectoratului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Municipiului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, denumirea de "inspectorat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judeţean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/Inspectoratul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al Municipiului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(ISJ/ISMB)" se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înlocuieşte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cu denumirea "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direcţie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judeţeană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preuniversitar/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Direcţia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Municipiului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96C4F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Preuniversitar (DJIP/DMBIP)".</w:t>
      </w:r>
    </w:p>
    <w:p w14:paraId="71360565" w14:textId="77777777" w:rsidR="00096C4F" w:rsidRPr="00096C4F" w:rsidRDefault="00096C4F" w:rsidP="000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758CCE" w14:textId="4079F9E3" w:rsidR="00000000" w:rsidRPr="00096C4F" w:rsidRDefault="00096C4F" w:rsidP="00096C4F">
      <w:pPr>
        <w:jc w:val="both"/>
        <w:rPr>
          <w:rFonts w:ascii="Times New Roman" w:hAnsi="Times New Roman" w:cs="Times New Roman"/>
          <w:sz w:val="24"/>
          <w:szCs w:val="24"/>
        </w:rPr>
      </w:pPr>
      <w:r w:rsidRPr="00096C4F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---------------</w:t>
      </w:r>
    </w:p>
    <w:sectPr w:rsidR="00DF5A7D" w:rsidRPr="00096C4F" w:rsidSect="00096C4F">
      <w:pgSz w:w="11906" w:h="16838" w:code="9"/>
      <w:pgMar w:top="72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96C4F"/>
    <w:rsid w:val="00101CC8"/>
    <w:rsid w:val="003870DD"/>
    <w:rsid w:val="00870F2B"/>
    <w:rsid w:val="00A04642"/>
    <w:rsid w:val="00A63DD7"/>
    <w:rsid w:val="00A911DB"/>
    <w:rsid w:val="00BF0545"/>
    <w:rsid w:val="00E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A1A7-19D3-44AC-8660-FDA978D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DD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DD7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D7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D7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D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D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D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D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A6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DD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DD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A6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DD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A63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D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DD7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A6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2</cp:revision>
  <cp:lastPrinted>2024-06-13T06:29:00Z</cp:lastPrinted>
  <dcterms:created xsi:type="dcterms:W3CDTF">2024-06-13T06:23:00Z</dcterms:created>
  <dcterms:modified xsi:type="dcterms:W3CDTF">2024-06-13T06:29:00Z</dcterms:modified>
</cp:coreProperties>
</file>